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EC20" w14:textId="77777777" w:rsidR="00616F17" w:rsidRDefault="00F32BE7">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 utilização de planilhas eletrônicas como inclusão digital para alunas dos</w:t>
      </w:r>
    </w:p>
    <w:p w14:paraId="4788EC21" w14:textId="77777777" w:rsidR="00616F17" w:rsidRDefault="00F32BE7">
      <w:pPr>
        <w:pBdr>
          <w:top w:val="nil"/>
          <w:left w:val="nil"/>
          <w:bottom w:val="nil"/>
          <w:right w:val="nil"/>
          <w:between w:val="nil"/>
        </w:pBdr>
        <w:spacing w:after="1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cursos técnicos</w:t>
      </w:r>
      <w:r>
        <w:rPr>
          <w:rFonts w:ascii="Times New Roman" w:eastAsia="Times New Roman" w:hAnsi="Times New Roman" w:cs="Times New Roman"/>
          <w:b/>
          <w:color w:val="000000"/>
          <w:sz w:val="20"/>
          <w:szCs w:val="20"/>
        </w:rPr>
        <w:t xml:space="preserve"> </w:t>
      </w:r>
    </w:p>
    <w:p w14:paraId="4788EC22" w14:textId="77777777" w:rsidR="00616F17" w:rsidRDefault="00F32BE7">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Jeovanna Romero de Araú</w:t>
      </w:r>
      <w:r>
        <w:rPr>
          <w:rFonts w:ascii="Times New Roman" w:eastAsia="Times New Roman" w:hAnsi="Times New Roman" w:cs="Times New Roman"/>
          <w:sz w:val="20"/>
          <w:szCs w:val="20"/>
        </w:rPr>
        <w:t>jo</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Thayla Aparecida de Oliveira da Silva</w:t>
      </w:r>
      <w:r>
        <w:rPr>
          <w:rFonts w:ascii="Times New Roman" w:eastAsia="Times New Roman" w:hAnsi="Times New Roman" w:cs="Times New Roman"/>
          <w:color w:val="000000"/>
          <w:sz w:val="20"/>
          <w:szCs w:val="20"/>
          <w:vertAlign w:val="superscript"/>
        </w:rPr>
        <w:t>2</w:t>
      </w:r>
    </w:p>
    <w:p w14:paraId="4788EC23" w14:textId="67AB6D40" w:rsidR="00616F17" w:rsidRDefault="00F32BE7">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Rosemeire Soares de Sousa</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Daiane Sampaio Santos</w:t>
      </w:r>
      <w:r>
        <w:rPr>
          <w:rFonts w:ascii="Times New Roman" w:eastAsia="Times New Roman" w:hAnsi="Times New Roman" w:cs="Times New Roman"/>
          <w:color w:val="000000"/>
          <w:sz w:val="20"/>
          <w:szCs w:val="20"/>
          <w:vertAlign w:val="superscript"/>
        </w:rPr>
        <w:t>2</w:t>
      </w:r>
    </w:p>
    <w:p w14:paraId="4788EC24" w14:textId="77777777" w:rsidR="00616F17" w:rsidRDefault="00616F17">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p>
    <w:p w14:paraId="4788EC25" w14:textId="77777777" w:rsidR="00616F17" w:rsidRDefault="00F32BE7">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Instituto Federal de Mato Grosso do Sul – Aquidauana – MS</w:t>
      </w:r>
    </w:p>
    <w:p w14:paraId="4788EC26" w14:textId="77777777" w:rsidR="00616F17" w:rsidRDefault="00F32BE7">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jeovanna.araujo@estudante.ifms.edu.br</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thayla.silva@estudante.ifms.edu.br</w:t>
      </w:r>
      <w:r>
        <w:rPr>
          <w:rFonts w:ascii="Times New Roman" w:eastAsia="Times New Roman" w:hAnsi="Times New Roman" w:cs="Times New Roman"/>
          <w:color w:val="000000"/>
          <w:sz w:val="20"/>
          <w:szCs w:val="20"/>
          <w:vertAlign w:val="superscript"/>
        </w:rPr>
        <w:t>2</w:t>
      </w:r>
    </w:p>
    <w:p w14:paraId="4788EC27" w14:textId="10018622" w:rsidR="00616F17" w:rsidRDefault="00F32BE7">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rosemeire.sousa@ifms.edu.br</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daiane.santos@ifms.edu.br</w:t>
      </w:r>
      <w:r>
        <w:rPr>
          <w:rFonts w:ascii="Times New Roman" w:eastAsia="Times New Roman" w:hAnsi="Times New Roman" w:cs="Times New Roman"/>
          <w:color w:val="000000"/>
          <w:sz w:val="20"/>
          <w:szCs w:val="20"/>
          <w:vertAlign w:val="superscript"/>
        </w:rPr>
        <w:t>2</w:t>
      </w:r>
    </w:p>
    <w:p w14:paraId="4788EC28" w14:textId="77777777" w:rsidR="00616F17" w:rsidRDefault="00616F17">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p>
    <w:p w14:paraId="4788EC29" w14:textId="577176C8" w:rsidR="00616F17" w:rsidRDefault="00F32BE7">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Área/Subáre</w:t>
      </w:r>
      <w:r>
        <w:rPr>
          <w:rFonts w:ascii="Times New Roman" w:eastAsia="Times New Roman" w:hAnsi="Times New Roman" w:cs="Times New Roman"/>
          <w:color w:val="000000"/>
          <w:sz w:val="20"/>
          <w:szCs w:val="20"/>
        </w:rPr>
        <w:t xml:space="preserve">a: </w:t>
      </w:r>
      <w:r w:rsidR="001C0658">
        <w:rPr>
          <w:rFonts w:ascii="Times New Roman" w:eastAsia="Times New Roman" w:hAnsi="Times New Roman" w:cs="Times New Roman"/>
          <w:color w:val="000000"/>
          <w:sz w:val="20"/>
          <w:szCs w:val="20"/>
        </w:rPr>
        <w:t>MD</w:t>
      </w:r>
      <w:r>
        <w:rPr>
          <w:rFonts w:ascii="Times New Roman" w:eastAsia="Times New Roman" w:hAnsi="Times New Roman" w:cs="Times New Roman"/>
          <w:color w:val="000000"/>
          <w:sz w:val="20"/>
          <w:szCs w:val="20"/>
        </w:rPr>
        <w:t>IS</w:t>
      </w:r>
      <w:r>
        <w:rPr>
          <w:rFonts w:ascii="Times New Roman" w:eastAsia="Times New Roman" w:hAnsi="Times New Roman" w:cs="Times New Roman"/>
          <w:sz w:val="20"/>
          <w:szCs w:val="20"/>
        </w:rPr>
        <w:t>/Multidisciplinar</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Tipo de Pesquisa: Tecnológica</w:t>
      </w:r>
    </w:p>
    <w:p w14:paraId="4788EC2A"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Palavras-chave:</w:t>
      </w:r>
      <w:r>
        <w:rPr>
          <w:rFonts w:ascii="Times New Roman" w:eastAsia="Times New Roman" w:hAnsi="Times New Roman" w:cs="Times New Roman"/>
          <w:color w:val="000000"/>
          <w:sz w:val="20"/>
          <w:szCs w:val="20"/>
        </w:rPr>
        <w:t xml:space="preserve"> planilha eletrônica; aplicabilidade; </w:t>
      </w:r>
    </w:p>
    <w:p w14:paraId="4788EC2B" w14:textId="77777777" w:rsidR="00616F17" w:rsidRDefault="00F32BE7">
      <w:pPr>
        <w:pBdr>
          <w:top w:val="nil"/>
          <w:left w:val="nil"/>
          <w:bottom w:val="nil"/>
          <w:right w:val="nil"/>
          <w:between w:val="nil"/>
        </w:pBdr>
        <w:spacing w:after="120"/>
        <w:ind w:left="1417"/>
        <w:jc w:val="both"/>
        <w:rPr>
          <w:rFonts w:ascii="Times New Roman" w:eastAsia="Times New Roman" w:hAnsi="Times New Roman" w:cs="Times New Roman"/>
          <w:color w:val="000000"/>
          <w:sz w:val="20"/>
          <w:szCs w:val="20"/>
        </w:rPr>
        <w:sectPr w:rsidR="00616F17">
          <w:headerReference w:type="default" r:id="rId8"/>
          <w:footerReference w:type="default" r:id="rId9"/>
          <w:pgSz w:w="11906" w:h="16838"/>
          <w:pgMar w:top="1985" w:right="567" w:bottom="1134" w:left="1134" w:header="284" w:footer="1418" w:gutter="0"/>
          <w:pgNumType w:start="1"/>
          <w:cols w:space="720"/>
        </w:sectPr>
      </w:pPr>
      <w:r>
        <w:rPr>
          <w:rFonts w:ascii="Times New Roman" w:eastAsia="Times New Roman" w:hAnsi="Times New Roman" w:cs="Times New Roman"/>
          <w:color w:val="000000"/>
          <w:sz w:val="20"/>
          <w:szCs w:val="20"/>
        </w:rPr>
        <w:t>inclusão digital.</w:t>
      </w:r>
    </w:p>
    <w:p w14:paraId="4788EC2C" w14:textId="77777777" w:rsidR="00616F17" w:rsidRDefault="00F32BE7">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Introdução</w:t>
      </w:r>
    </w:p>
    <w:p w14:paraId="4788EC2D" w14:textId="77777777" w:rsidR="00616F17" w:rsidRDefault="00F32BE7">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 o desenvolvimento tecnológico, especificamente o digital, tornou-se indispensável ao profissional de qualquer área, interagir e resolver questões advindas dessas tecnologias. Garcia e D’Elia (2005), enfatiza que o constante crescimento da informação, r</w:t>
      </w:r>
      <w:r>
        <w:rPr>
          <w:rFonts w:ascii="Times New Roman" w:eastAsia="Times New Roman" w:hAnsi="Times New Roman" w:cs="Times New Roman"/>
          <w:color w:val="000000"/>
          <w:sz w:val="20"/>
          <w:szCs w:val="20"/>
        </w:rPr>
        <w:t>esultante dos avanços tecnológicos, está diretamente ligado à importância de utilizar as ferramentas digitais, pois constituem, também, uma fonte geradora de lucros.</w:t>
      </w:r>
    </w:p>
    <w:p w14:paraId="4788EC2E" w14:textId="77777777" w:rsidR="00616F17" w:rsidRDefault="00F32BE7">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Entretanto, a realidade de muitos estudantes ingressantes do campus Aquidauana é de, como </w:t>
      </w:r>
      <w:r>
        <w:rPr>
          <w:rFonts w:ascii="Times New Roman" w:eastAsia="Times New Roman" w:hAnsi="Times New Roman" w:cs="Times New Roman"/>
          <w:color w:val="000000"/>
          <w:sz w:val="20"/>
          <w:szCs w:val="20"/>
        </w:rPr>
        <w:t>diz Almeida et al (2005), uma vivência à margem da sociedade informatizada, tendo dificuldades para executar tarefas simples, quando essas dependem da tecnologia. Muitos estudantes sequer tiveram contato com um computador na vida, ou raríssimas foram as ve</w:t>
      </w:r>
      <w:r>
        <w:rPr>
          <w:rFonts w:ascii="Times New Roman" w:eastAsia="Times New Roman" w:hAnsi="Times New Roman" w:cs="Times New Roman"/>
          <w:color w:val="000000"/>
          <w:sz w:val="20"/>
          <w:szCs w:val="20"/>
        </w:rPr>
        <w:t xml:space="preserve">zes. </w:t>
      </w:r>
    </w:p>
    <w:p w14:paraId="4788EC2F" w14:textId="77777777" w:rsidR="00616F17" w:rsidRDefault="00F32BE7">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Essa exclusão digital, ou acesso desigual à tecnologia, conforme Sorj e Guedes (2005), tende a dificultar a vida acadêmica dos estudantes. A interação de qualidade com a tecnologia é vital nos dias de hoje. </w:t>
      </w:r>
    </w:p>
    <w:p w14:paraId="4788EC30" w14:textId="77777777" w:rsidR="00616F17" w:rsidRDefault="00F32BE7">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Outro dado alarmante é a maior evasão esco</w:t>
      </w:r>
      <w:r>
        <w:rPr>
          <w:rFonts w:ascii="Times New Roman" w:eastAsia="Times New Roman" w:hAnsi="Times New Roman" w:cs="Times New Roman"/>
          <w:color w:val="000000"/>
          <w:sz w:val="20"/>
          <w:szCs w:val="20"/>
        </w:rPr>
        <w:t>lar feminina, em cursos ligados à ciência e tecnologia. Além da problemática do acesso à tecnologia, outras variáveis também impactam negativamente a permanência das meninas, em especial.</w:t>
      </w:r>
    </w:p>
    <w:p w14:paraId="4788EC31" w14:textId="77777777" w:rsidR="00616F17" w:rsidRDefault="00F32BE7">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Nesse sentido, este trabalho busca propor uma solução para ao menos </w:t>
      </w:r>
      <w:r>
        <w:rPr>
          <w:rFonts w:ascii="Times New Roman" w:eastAsia="Times New Roman" w:hAnsi="Times New Roman" w:cs="Times New Roman"/>
          <w:color w:val="000000"/>
          <w:sz w:val="20"/>
          <w:szCs w:val="20"/>
        </w:rPr>
        <w:t xml:space="preserve">minimizar a exclusão digital e a evasão escolar feminina no contexto dos cursos </w:t>
      </w:r>
      <w:r>
        <w:rPr>
          <w:rFonts w:ascii="Times New Roman" w:eastAsia="Times New Roman" w:hAnsi="Times New Roman" w:cs="Times New Roman"/>
          <w:sz w:val="20"/>
          <w:szCs w:val="20"/>
        </w:rPr>
        <w:t xml:space="preserve">técnicos de Edificações e de Informática </w:t>
      </w:r>
      <w:r>
        <w:rPr>
          <w:rFonts w:ascii="Times New Roman" w:eastAsia="Times New Roman" w:hAnsi="Times New Roman" w:cs="Times New Roman"/>
          <w:color w:val="000000"/>
          <w:sz w:val="20"/>
          <w:szCs w:val="20"/>
        </w:rPr>
        <w:t xml:space="preserve">do </w:t>
      </w:r>
      <w:r>
        <w:rPr>
          <w:rFonts w:ascii="Times New Roman" w:eastAsia="Times New Roman" w:hAnsi="Times New Roman" w:cs="Times New Roman"/>
          <w:i/>
          <w:color w:val="000000"/>
          <w:sz w:val="20"/>
          <w:szCs w:val="20"/>
        </w:rPr>
        <w:t>Campus</w:t>
      </w:r>
      <w:r>
        <w:rPr>
          <w:rFonts w:ascii="Times New Roman" w:eastAsia="Times New Roman" w:hAnsi="Times New Roman" w:cs="Times New Roman"/>
          <w:color w:val="000000"/>
          <w:sz w:val="20"/>
          <w:szCs w:val="20"/>
        </w:rPr>
        <w:t xml:space="preserve"> Aquidauana.</w:t>
      </w:r>
    </w:p>
    <w:p w14:paraId="4788EC32" w14:textId="77777777" w:rsidR="00616F17" w:rsidRDefault="00616F17">
      <w:pPr>
        <w:pBdr>
          <w:top w:val="nil"/>
          <w:left w:val="nil"/>
          <w:bottom w:val="nil"/>
          <w:right w:val="nil"/>
          <w:between w:val="nil"/>
        </w:pBdr>
        <w:jc w:val="both"/>
        <w:rPr>
          <w:rFonts w:ascii="Times New Roman" w:eastAsia="Times New Roman" w:hAnsi="Times New Roman" w:cs="Times New Roman"/>
          <w:color w:val="000000"/>
          <w:sz w:val="20"/>
          <w:szCs w:val="20"/>
        </w:rPr>
      </w:pPr>
    </w:p>
    <w:p w14:paraId="4788EC33" w14:textId="77777777" w:rsidR="00616F17" w:rsidRDefault="00F32BE7">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Metodologia</w:t>
      </w:r>
    </w:p>
    <w:p w14:paraId="4788EC34"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metodologia adotada para este trabalho teve início com uma revisão bibliográfica explorando a impo</w:t>
      </w:r>
      <w:r>
        <w:rPr>
          <w:rFonts w:ascii="Times New Roman" w:eastAsia="Times New Roman" w:hAnsi="Times New Roman" w:cs="Times New Roman"/>
          <w:color w:val="000000"/>
          <w:sz w:val="20"/>
          <w:szCs w:val="20"/>
        </w:rPr>
        <w:t xml:space="preserve">rtância do uso de planilhas eletrônicas, tanto no meio acadêmico quanto nas atividades empresariais e pessoais, </w:t>
      </w:r>
      <w:r>
        <w:rPr>
          <w:rFonts w:ascii="Times New Roman" w:eastAsia="Times New Roman" w:hAnsi="Times New Roman" w:cs="Times New Roman"/>
          <w:sz w:val="20"/>
          <w:szCs w:val="20"/>
        </w:rPr>
        <w:t>especialmente voltadas às áreas de informática e engenharia civil.</w:t>
      </w:r>
    </w:p>
    <w:p w14:paraId="4788EC35"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Então, os seguintes passos foram planejados: </w:t>
      </w:r>
    </w:p>
    <w:p w14:paraId="4788EC36" w14:textId="77777777" w:rsidR="00616F17" w:rsidRDefault="00F32BE7">
      <w:pPr>
        <w:numPr>
          <w:ilvl w:val="0"/>
          <w:numId w:val="1"/>
        </w:numPr>
        <w:pBdr>
          <w:top w:val="nil"/>
          <w:left w:val="nil"/>
          <w:bottom w:val="nil"/>
          <w:right w:val="nil"/>
          <w:between w:val="nil"/>
        </w:pBdr>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curso de editor de planilha eletrônica (Google Planilhas) do básico ao avançado para as alunas do projeto, sendo uma do técnico em Edificações e a outra, de Informática;</w:t>
      </w:r>
    </w:p>
    <w:p w14:paraId="4788EC37" w14:textId="77777777" w:rsidR="00616F17" w:rsidRDefault="00F32BE7">
      <w:pPr>
        <w:numPr>
          <w:ilvl w:val="0"/>
          <w:numId w:val="1"/>
        </w:numPr>
        <w:pBdr>
          <w:top w:val="nil"/>
          <w:left w:val="nil"/>
          <w:bottom w:val="nil"/>
          <w:right w:val="nil"/>
          <w:between w:val="nil"/>
        </w:pBdr>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pesquisa e desenvolvimento de funcionalidades do Google Planilhas por cada área técnic</w:t>
      </w:r>
      <w:r>
        <w:rPr>
          <w:rFonts w:ascii="Times New Roman" w:eastAsia="Times New Roman" w:hAnsi="Times New Roman" w:cs="Times New Roman"/>
          <w:sz w:val="20"/>
          <w:szCs w:val="20"/>
        </w:rPr>
        <w:t>a (informática e edificações);</w:t>
      </w:r>
    </w:p>
    <w:p w14:paraId="4788EC38" w14:textId="77777777" w:rsidR="00616F17" w:rsidRDefault="00F32BE7">
      <w:pPr>
        <w:numPr>
          <w:ilvl w:val="0"/>
          <w:numId w:val="1"/>
        </w:numPr>
        <w:pBdr>
          <w:top w:val="nil"/>
          <w:left w:val="nil"/>
          <w:bottom w:val="nil"/>
          <w:right w:val="nil"/>
          <w:between w:val="nil"/>
        </w:pBdr>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elaboraremos lista de vídeos a serem produzidos e o roteiro dos mesmos;</w:t>
      </w:r>
    </w:p>
    <w:p w14:paraId="4788EC39" w14:textId="77777777" w:rsidR="00616F17" w:rsidRDefault="00F32BE7">
      <w:pPr>
        <w:numPr>
          <w:ilvl w:val="0"/>
          <w:numId w:val="1"/>
        </w:numPr>
        <w:pBdr>
          <w:top w:val="nil"/>
          <w:left w:val="nil"/>
          <w:bottom w:val="nil"/>
          <w:right w:val="nil"/>
          <w:between w:val="nil"/>
        </w:pBdr>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teremos o curso de edição de vídeo pelas professoras coordenadoras do projeto;</w:t>
      </w:r>
    </w:p>
    <w:p w14:paraId="4788EC3A" w14:textId="77777777" w:rsidR="00616F17" w:rsidRDefault="00F32BE7">
      <w:pPr>
        <w:numPr>
          <w:ilvl w:val="0"/>
          <w:numId w:val="1"/>
        </w:numPr>
        <w:pBdr>
          <w:top w:val="nil"/>
          <w:left w:val="nil"/>
          <w:bottom w:val="nil"/>
          <w:right w:val="nil"/>
          <w:between w:val="nil"/>
        </w:pBdr>
        <w:spacing w:after="120"/>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Após produzirmos o material didático para cada área do curso específica ir</w:t>
      </w:r>
      <w:r>
        <w:rPr>
          <w:rFonts w:ascii="Times New Roman" w:eastAsia="Times New Roman" w:hAnsi="Times New Roman" w:cs="Times New Roman"/>
          <w:sz w:val="20"/>
          <w:szCs w:val="20"/>
        </w:rPr>
        <w:t>emos disponibilizar o material didático produzido em formato de oficinas, a fim de trabalharmos o material didático em oficinas com as estudantes ingressantes do nível técnico; e, finalmente, selecionar mais duas meninas dentre as que participaram dessas a</w:t>
      </w:r>
      <w:r>
        <w:rPr>
          <w:rFonts w:ascii="Times New Roman" w:eastAsia="Times New Roman" w:hAnsi="Times New Roman" w:cs="Times New Roman"/>
          <w:sz w:val="20"/>
          <w:szCs w:val="20"/>
        </w:rPr>
        <w:t>ulas, para oferecer as oficinas futuramente, a fim de serem multiplicadoras.</w:t>
      </w:r>
    </w:p>
    <w:p w14:paraId="4788EC3B" w14:textId="77777777" w:rsidR="00616F17" w:rsidRDefault="00F32BE7">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Resultados e Análise</w:t>
      </w:r>
    </w:p>
    <w:p w14:paraId="4788EC3C"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 esta pesquisa, esperamos minimizar a exclusão digital e a evasão escolar feminina, através da nossa capacitação intelectual, em que estaremos elaborando aulas e atividades práticas, com fórmulas e funções bastante utilizadas no cotidiano. Desse modo, c</w:t>
      </w:r>
      <w:r>
        <w:rPr>
          <w:rFonts w:ascii="Times New Roman" w:eastAsia="Times New Roman" w:hAnsi="Times New Roman" w:cs="Times New Roman"/>
          <w:sz w:val="20"/>
          <w:szCs w:val="20"/>
        </w:rPr>
        <w:t>om as videoaulas desenvolvidas, iremos incentivar, capacitar e formar mais instrutoras do sexo feminino, no uso adequado de tecnologias, especificamente, o uso de planilhas eletrônicas</w:t>
      </w:r>
      <w:r>
        <w:rPr>
          <w:rFonts w:ascii="Times New Roman" w:eastAsia="Times New Roman" w:hAnsi="Times New Roman" w:cs="Times New Roman"/>
          <w:color w:val="000000"/>
          <w:sz w:val="20"/>
          <w:szCs w:val="20"/>
        </w:rPr>
        <w:t>.</w:t>
      </w:r>
    </w:p>
    <w:p w14:paraId="4788EC3D" w14:textId="77777777" w:rsidR="00616F17" w:rsidRDefault="00F32BE7">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Considerações Finais</w:t>
      </w:r>
    </w:p>
    <w:p w14:paraId="4788EC3E"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Sabemos que há muito a ser feito para combater a </w:t>
      </w:r>
      <w:r>
        <w:rPr>
          <w:rFonts w:ascii="Times New Roman" w:eastAsia="Times New Roman" w:hAnsi="Times New Roman" w:cs="Times New Roman"/>
          <w:sz w:val="20"/>
          <w:szCs w:val="20"/>
        </w:rPr>
        <w:t>exclusão digital e a evasão escolar, principalmente, para o público feminino. Contudo, esperamos que, através do desenvolvimento de oficinas de capacitação utilizando ferramentas tecnológicas, focadas nas áreas de informática e edificações, com instrutoras</w:t>
      </w:r>
      <w:r>
        <w:rPr>
          <w:rFonts w:ascii="Times New Roman" w:eastAsia="Times New Roman" w:hAnsi="Times New Roman" w:cs="Times New Roman"/>
          <w:sz w:val="20"/>
          <w:szCs w:val="20"/>
        </w:rPr>
        <w:t xml:space="preserve"> multiplicadoras, essa exclusão possa ser reduzida significativamente</w:t>
      </w:r>
      <w:r>
        <w:rPr>
          <w:rFonts w:ascii="Times New Roman" w:eastAsia="Times New Roman" w:hAnsi="Times New Roman" w:cs="Times New Roman"/>
          <w:color w:val="000000"/>
          <w:sz w:val="20"/>
          <w:szCs w:val="20"/>
        </w:rPr>
        <w:t>.</w:t>
      </w:r>
    </w:p>
    <w:p w14:paraId="4788EC3F" w14:textId="77777777" w:rsidR="00616F17" w:rsidRDefault="00F32BE7">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Agradecimentos</w:t>
      </w:r>
    </w:p>
    <w:p w14:paraId="4788EC40"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Agradecemos ao IFMS Campus Aquidauana, pelo apoio e incentivo às pesquisas, disponibilizando recursos tecnológicos para o desenvolvimento deste estudo</w:t>
      </w:r>
      <w:r>
        <w:rPr>
          <w:rFonts w:ascii="Times New Roman" w:eastAsia="Times New Roman" w:hAnsi="Times New Roman" w:cs="Times New Roman"/>
          <w:color w:val="000000"/>
          <w:sz w:val="20"/>
          <w:szCs w:val="20"/>
        </w:rPr>
        <w:t>.</w:t>
      </w:r>
    </w:p>
    <w:p w14:paraId="4788EC41" w14:textId="77777777" w:rsidR="00616F17" w:rsidRDefault="00F32BE7">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Referências</w:t>
      </w:r>
    </w:p>
    <w:p w14:paraId="4788EC42"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ARAÚJO</w:t>
      </w:r>
      <w:r>
        <w:rPr>
          <w:rFonts w:ascii="Times New Roman" w:eastAsia="Times New Roman" w:hAnsi="Times New Roman" w:cs="Times New Roman"/>
          <w:sz w:val="20"/>
          <w:szCs w:val="20"/>
        </w:rPr>
        <w:t>, Ismael Souza.</w:t>
      </w:r>
      <w:r>
        <w:rPr>
          <w:rFonts w:ascii="Times New Roman" w:eastAsia="Times New Roman" w:hAnsi="Times New Roman" w:cs="Times New Roman"/>
          <w:b/>
          <w:sz w:val="20"/>
          <w:szCs w:val="20"/>
        </w:rPr>
        <w:t xml:space="preserve"> Planilhas Eletrônicas</w:t>
      </w:r>
      <w:r>
        <w:rPr>
          <w:rFonts w:ascii="Times New Roman" w:eastAsia="Times New Roman" w:hAnsi="Times New Roman" w:cs="Times New Roman"/>
          <w:sz w:val="20"/>
          <w:szCs w:val="20"/>
        </w:rPr>
        <w:t xml:space="preserve">. Brasília: NT Editora, 2014. </w:t>
      </w:r>
    </w:p>
    <w:p w14:paraId="4788EC43"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LIBÂNEO, José Carlos. </w:t>
      </w:r>
      <w:r>
        <w:rPr>
          <w:rFonts w:ascii="Times New Roman" w:eastAsia="Times New Roman" w:hAnsi="Times New Roman" w:cs="Times New Roman"/>
          <w:b/>
          <w:sz w:val="20"/>
          <w:szCs w:val="20"/>
        </w:rPr>
        <w:t>Organização e gestão da escola</w:t>
      </w:r>
      <w:r>
        <w:rPr>
          <w:rFonts w:ascii="Times New Roman" w:eastAsia="Times New Roman" w:hAnsi="Times New Roman" w:cs="Times New Roman"/>
          <w:sz w:val="20"/>
          <w:szCs w:val="20"/>
        </w:rPr>
        <w:t>: teoria e prática. 3ed. Revista e ampliada. Goiânia: Alternativa, 2001.</w:t>
      </w:r>
    </w:p>
    <w:p w14:paraId="4788EC44"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NEIVA, Edméa Garcia. D’Elia, Elizabete Silva (2005). </w:t>
      </w:r>
      <w:r>
        <w:rPr>
          <w:rFonts w:ascii="Times New Roman" w:eastAsia="Times New Roman" w:hAnsi="Times New Roman" w:cs="Times New Roman"/>
          <w:b/>
          <w:sz w:val="20"/>
          <w:szCs w:val="20"/>
        </w:rPr>
        <w:t>Secretária</w:t>
      </w:r>
      <w:r>
        <w:rPr>
          <w:rFonts w:ascii="Times New Roman" w:eastAsia="Times New Roman" w:hAnsi="Times New Roman" w:cs="Times New Roman"/>
          <w:b/>
          <w:sz w:val="20"/>
          <w:szCs w:val="20"/>
        </w:rPr>
        <w:t xml:space="preserve"> executiva</w:t>
      </w:r>
      <w:r>
        <w:rPr>
          <w:rFonts w:ascii="Times New Roman" w:eastAsia="Times New Roman" w:hAnsi="Times New Roman" w:cs="Times New Roman"/>
          <w:sz w:val="20"/>
          <w:szCs w:val="20"/>
        </w:rPr>
        <w:t>. (1a ed.). São Paulo: IOB-Thomson.</w:t>
      </w:r>
    </w:p>
    <w:p w14:paraId="4788EC45"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OLINTO, Gilda. A inclusão das mulheres nas carreiras de ciência e tecnologia no Brasil. </w:t>
      </w:r>
      <w:r>
        <w:rPr>
          <w:rFonts w:ascii="Times New Roman" w:eastAsia="Times New Roman" w:hAnsi="Times New Roman" w:cs="Times New Roman"/>
          <w:b/>
          <w:sz w:val="20"/>
          <w:szCs w:val="20"/>
        </w:rPr>
        <w:t>Inc. Soc</w:t>
      </w:r>
      <w:r>
        <w:rPr>
          <w:rFonts w:ascii="Times New Roman" w:eastAsia="Times New Roman" w:hAnsi="Times New Roman" w:cs="Times New Roman"/>
          <w:sz w:val="20"/>
          <w:szCs w:val="20"/>
        </w:rPr>
        <w:t>., Brasília, DF, v. 5 n. 1, p.68-77, jul./dez. 2011.</w:t>
      </w:r>
    </w:p>
    <w:p w14:paraId="4788EC46"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SORJ, Bernardo; GUEDES, Luís Eduardo. Exclusão digital: probl</w:t>
      </w:r>
      <w:r>
        <w:rPr>
          <w:rFonts w:ascii="Times New Roman" w:eastAsia="Times New Roman" w:hAnsi="Times New Roman" w:cs="Times New Roman"/>
          <w:sz w:val="20"/>
          <w:szCs w:val="20"/>
        </w:rPr>
        <w:t xml:space="preserve">emas conceituais, evidências empíricas e políticas públicas. </w:t>
      </w:r>
      <w:r>
        <w:rPr>
          <w:rFonts w:ascii="Times New Roman" w:eastAsia="Times New Roman" w:hAnsi="Times New Roman" w:cs="Times New Roman"/>
          <w:b/>
          <w:sz w:val="20"/>
          <w:szCs w:val="20"/>
        </w:rPr>
        <w:t>Novos Estudos - Cebrap</w:t>
      </w:r>
      <w:r>
        <w:rPr>
          <w:rFonts w:ascii="Times New Roman" w:eastAsia="Times New Roman" w:hAnsi="Times New Roman" w:cs="Times New Roman"/>
          <w:sz w:val="20"/>
          <w:szCs w:val="20"/>
        </w:rPr>
        <w:t>, [S.L.], n. 72, p. 101-117, jul. 2005. FapUNIFESP (SciELO). &lt;http://dx.doi.org/10.1590/s0101-33002005000200006&gt; Acesso em 16 de mar. 2021.</w:t>
      </w:r>
    </w:p>
    <w:p w14:paraId="4788EC47"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REIS, Marlene Barbosa de Freitas.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Educação Inclusiva</w:t>
      </w:r>
      <w:r>
        <w:rPr>
          <w:rFonts w:ascii="Times New Roman" w:eastAsia="Times New Roman" w:hAnsi="Times New Roman" w:cs="Times New Roman"/>
          <w:sz w:val="20"/>
          <w:szCs w:val="20"/>
        </w:rPr>
        <w:t>. Goiânia: Deescubra, 2006.</w:t>
      </w:r>
    </w:p>
    <w:p w14:paraId="4788EC48"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RIGOLIN, Camila Carneiro Dias. HAYASHI, Carlos Roberto Massao. HAYASHI Maria Cristina Piumbato Innocentini. Métricas da participação feminina na ciência e tecnologia no contexto dos INCTs: primeiras aproximações. </w:t>
      </w:r>
      <w:r>
        <w:rPr>
          <w:rFonts w:ascii="Times New Roman" w:eastAsia="Times New Roman" w:hAnsi="Times New Roman" w:cs="Times New Roman"/>
          <w:b/>
          <w:sz w:val="20"/>
          <w:szCs w:val="20"/>
        </w:rPr>
        <w:t>Liinc em Revista</w:t>
      </w:r>
      <w:r>
        <w:rPr>
          <w:rFonts w:ascii="Times New Roman" w:eastAsia="Times New Roman" w:hAnsi="Times New Roman" w:cs="Times New Roman"/>
          <w:sz w:val="20"/>
          <w:szCs w:val="20"/>
        </w:rPr>
        <w:t xml:space="preserve">, Rio de Janeiro, v. 9, n. </w:t>
      </w:r>
      <w:r>
        <w:rPr>
          <w:rFonts w:ascii="Times New Roman" w:eastAsia="Times New Roman" w:hAnsi="Times New Roman" w:cs="Times New Roman"/>
          <w:sz w:val="20"/>
          <w:szCs w:val="20"/>
        </w:rPr>
        <w:t xml:space="preserve">1, p. 143-170, maio 2013. </w:t>
      </w:r>
    </w:p>
    <w:p w14:paraId="4788EC49"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SOARES, Thereza Amélia. Mulheres em ciência e tecnologia: ascensão limitada. </w:t>
      </w:r>
      <w:r>
        <w:rPr>
          <w:rFonts w:ascii="Times New Roman" w:eastAsia="Times New Roman" w:hAnsi="Times New Roman" w:cs="Times New Roman"/>
          <w:b/>
          <w:sz w:val="20"/>
          <w:szCs w:val="20"/>
        </w:rPr>
        <w:t>Química Nova</w:t>
      </w:r>
      <w:r>
        <w:rPr>
          <w:rFonts w:ascii="Times New Roman" w:eastAsia="Times New Roman" w:hAnsi="Times New Roman" w:cs="Times New Roman"/>
          <w:sz w:val="20"/>
          <w:szCs w:val="20"/>
        </w:rPr>
        <w:t xml:space="preserve">, [S.L.], v. 24, n. 2, p. 281-285, abr. 2001. FapUNIFESP (SciELO). &lt;http://dx.doi.org/10.1590/s0100-40422001000200020&gt; Acesso em 16 de mar. </w:t>
      </w:r>
      <w:r>
        <w:rPr>
          <w:rFonts w:ascii="Times New Roman" w:eastAsia="Times New Roman" w:hAnsi="Times New Roman" w:cs="Times New Roman"/>
          <w:sz w:val="20"/>
          <w:szCs w:val="20"/>
        </w:rPr>
        <w:t>2021.</w:t>
      </w:r>
    </w:p>
    <w:p w14:paraId="4788EC4A" w14:textId="77777777" w:rsidR="00616F17" w:rsidRDefault="00616F17">
      <w:pPr>
        <w:pBdr>
          <w:top w:val="nil"/>
          <w:left w:val="nil"/>
          <w:bottom w:val="nil"/>
          <w:right w:val="nil"/>
          <w:between w:val="nil"/>
        </w:pBdr>
        <w:spacing w:after="120"/>
        <w:jc w:val="both"/>
        <w:rPr>
          <w:rFonts w:ascii="Times New Roman" w:eastAsia="Times New Roman" w:hAnsi="Times New Roman" w:cs="Times New Roman"/>
          <w:color w:val="0070C0"/>
          <w:sz w:val="20"/>
          <w:szCs w:val="20"/>
        </w:rPr>
      </w:pPr>
    </w:p>
    <w:p w14:paraId="4788EC4B"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rPr>
        <w:t>THE USE OF ELECTRONIC SPREADSHEETS AS A DIGITAL INCLUSION FOR STUDENTS OF TECHNICAL COURSES</w:t>
      </w:r>
    </w:p>
    <w:p w14:paraId="4788EC4C"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Abstract: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sz w:val="20"/>
          <w:szCs w:val="20"/>
        </w:rPr>
        <w:t>Students who enter technical courses in Buildings and IT at the Aquidauana campus mostly suffer from the so-called digital exclusion. Of these stud</w:t>
      </w:r>
      <w:r>
        <w:rPr>
          <w:rFonts w:ascii="Times New Roman" w:eastAsia="Times New Roman" w:hAnsi="Times New Roman" w:cs="Times New Roman"/>
          <w:i/>
          <w:sz w:val="20"/>
          <w:szCs w:val="20"/>
        </w:rPr>
        <w:t>ents, the female audience still has to deal with other variables, which make them statistically more likely to drop out. Based on this, the objective of this project has been to propose a solution to integrate technology into the educational routine of the</w:t>
      </w:r>
      <w:r>
        <w:rPr>
          <w:rFonts w:ascii="Times New Roman" w:eastAsia="Times New Roman" w:hAnsi="Times New Roman" w:cs="Times New Roman"/>
          <w:i/>
          <w:sz w:val="20"/>
          <w:szCs w:val="20"/>
        </w:rPr>
        <w:t xml:space="preserve">se students in a more fruitful way, through a methodology in which fellow girls will be researchers and instructors, to </w:t>
      </w:r>
      <w:r>
        <w:rPr>
          <w:rFonts w:ascii="Times New Roman" w:eastAsia="Times New Roman" w:hAnsi="Times New Roman" w:cs="Times New Roman"/>
          <w:i/>
          <w:sz w:val="20"/>
          <w:szCs w:val="20"/>
        </w:rPr>
        <w:t>represent, inspire and multiply knowledge with other girls, who later will also be instructors, and so on</w:t>
      </w:r>
      <w:r>
        <w:rPr>
          <w:rFonts w:ascii="Times New Roman" w:eastAsia="Times New Roman" w:hAnsi="Times New Roman" w:cs="Times New Roman"/>
          <w:color w:val="000000"/>
          <w:sz w:val="20"/>
          <w:szCs w:val="20"/>
        </w:rPr>
        <w:t>.</w:t>
      </w:r>
    </w:p>
    <w:p w14:paraId="4788EC4D" w14:textId="77777777" w:rsidR="00616F17" w:rsidRDefault="00F32BE7">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sz w:val="20"/>
          <w:szCs w:val="20"/>
        </w:rPr>
        <w:t>spreadsheet; applicability; digital inclusion</w:t>
      </w:r>
      <w:r>
        <w:rPr>
          <w:rFonts w:ascii="Times New Roman" w:eastAsia="Times New Roman" w:hAnsi="Times New Roman" w:cs="Times New Roman"/>
          <w:sz w:val="20"/>
          <w:szCs w:val="20"/>
        </w:rPr>
        <w:t>.</w:t>
      </w:r>
    </w:p>
    <w:sectPr w:rsidR="00616F17">
      <w:type w:val="continuous"/>
      <w:pgSz w:w="11906" w:h="16838"/>
      <w:pgMar w:top="1985" w:right="567" w:bottom="567" w:left="1134" w:header="284" w:footer="1418" w:gutter="0"/>
      <w:cols w:num="2" w:space="720" w:equalWidth="0">
        <w:col w:w="4875" w:space="454"/>
        <w:col w:w="48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EC55" w14:textId="77777777" w:rsidR="00000000" w:rsidRDefault="00F32BE7">
      <w:r>
        <w:separator/>
      </w:r>
    </w:p>
  </w:endnote>
  <w:endnote w:type="continuationSeparator" w:id="0">
    <w:p w14:paraId="4788EC57" w14:textId="77777777" w:rsidR="00000000" w:rsidRDefault="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EC50" w14:textId="77777777" w:rsidR="00616F17" w:rsidRDefault="00F32BE7">
    <w:pPr>
      <w:pBdr>
        <w:top w:val="nil"/>
        <w:left w:val="nil"/>
        <w:bottom w:val="nil"/>
        <w:right w:val="nil"/>
        <w:between w:val="nil"/>
      </w:pBdr>
      <w:rPr>
        <w:color w:val="000000"/>
      </w:rPr>
    </w:pPr>
    <w:r>
      <w:rPr>
        <w:noProof/>
      </w:rPr>
      <w:drawing>
        <wp:anchor distT="0" distB="0" distL="114300" distR="114300" simplePos="0" relativeHeight="251659264" behindDoc="0" locked="0" layoutInCell="1" hidden="0" allowOverlap="1" wp14:anchorId="4788EC53" wp14:editId="4788EC54">
          <wp:simplePos x="0" y="0"/>
          <wp:positionH relativeFrom="column">
            <wp:posOffset>3812</wp:posOffset>
          </wp:positionH>
          <wp:positionV relativeFrom="paragraph">
            <wp:posOffset>33655</wp:posOffset>
          </wp:positionV>
          <wp:extent cx="6486525" cy="4953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EC51" w14:textId="77777777" w:rsidR="00000000" w:rsidRDefault="00F32BE7">
      <w:r>
        <w:separator/>
      </w:r>
    </w:p>
  </w:footnote>
  <w:footnote w:type="continuationSeparator" w:id="0">
    <w:p w14:paraId="4788EC53" w14:textId="77777777" w:rsidR="00000000" w:rsidRDefault="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EC4E" w14:textId="77777777" w:rsidR="00616F17" w:rsidRDefault="00616F17">
    <w:pPr>
      <w:pBdr>
        <w:top w:val="nil"/>
        <w:left w:val="nil"/>
        <w:bottom w:val="nil"/>
        <w:right w:val="nil"/>
        <w:between w:val="nil"/>
      </w:pBdr>
      <w:rPr>
        <w:color w:val="000000"/>
      </w:rPr>
    </w:pPr>
  </w:p>
  <w:p w14:paraId="4788EC4F" w14:textId="77777777" w:rsidR="00616F17" w:rsidRDefault="00F32BE7">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4788EC51" wp14:editId="4788EC52">
          <wp:simplePos x="0" y="0"/>
          <wp:positionH relativeFrom="column">
            <wp:posOffset>7623</wp:posOffset>
          </wp:positionH>
          <wp:positionV relativeFrom="paragraph">
            <wp:posOffset>304800</wp:posOffset>
          </wp:positionV>
          <wp:extent cx="6486525" cy="4953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66488"/>
    <w:multiLevelType w:val="multilevel"/>
    <w:tmpl w:val="FF4EF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17"/>
    <w:rsid w:val="001C0658"/>
    <w:rsid w:val="005C0811"/>
    <w:rsid w:val="00616F17"/>
    <w:rsid w:val="00F32B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EC20"/>
  <w15:docId w15:val="{5D42E8ED-3D4E-4658-BA34-BCDB72C8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4318BE"/>
    <w:rPr>
      <w:sz w:val="20"/>
      <w:szCs w:val="20"/>
    </w:rPr>
  </w:style>
  <w:style w:type="character" w:customStyle="1" w:styleId="TextodenotaderodapChar">
    <w:name w:val="Texto de nota de rodapé Char"/>
    <w:basedOn w:val="Fontepargpadro"/>
    <w:link w:val="Textodenotaderodap"/>
    <w:uiPriority w:val="99"/>
    <w:semiHidden/>
    <w:rsid w:val="004318BE"/>
    <w:rPr>
      <w:sz w:val="20"/>
      <w:szCs w:val="20"/>
    </w:rPr>
  </w:style>
  <w:style w:type="character" w:styleId="Refdenotaderodap">
    <w:name w:val="footnote reference"/>
    <w:basedOn w:val="Fontepargpadro"/>
    <w:uiPriority w:val="99"/>
    <w:semiHidden/>
    <w:unhideWhenUsed/>
    <w:rsid w:val="004318BE"/>
    <w:rPr>
      <w:vertAlign w:val="superscript"/>
    </w:rPr>
  </w:style>
  <w:style w:type="character" w:styleId="Hyperlink">
    <w:name w:val="Hyperlink"/>
    <w:basedOn w:val="Fontepargpadro"/>
    <w:uiPriority w:val="99"/>
    <w:unhideWhenUsed/>
    <w:rsid w:val="0052696A"/>
    <w:rPr>
      <w:color w:val="0000FF" w:themeColor="hyperlink"/>
      <w:u w:val="single"/>
    </w:rPr>
  </w:style>
  <w:style w:type="character" w:styleId="MenoPendente">
    <w:name w:val="Unresolved Mention"/>
    <w:basedOn w:val="Fontepargpadro"/>
    <w:uiPriority w:val="99"/>
    <w:semiHidden/>
    <w:unhideWhenUsed/>
    <w:rsid w:val="00526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727pDn+v3bkKDRueU/fIS5HDg==">AMUW2mUQIXFVUc2G5Qaa8Uh+3/YTh0+KBTRFQ7phZQjHeCCEdzgyVbaFVjkhKyF403O97Rr2F0rCHlDeT1lOHHgZVxcAQKV6UKwyaPRVXF3cp+LafRG+V1M=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992</Words>
  <Characters>5357</Characters>
  <Application>Microsoft Office Word</Application>
  <DocSecurity>0</DocSecurity>
  <Lines>44</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Soares de Sousa</cp:lastModifiedBy>
  <cp:revision>4</cp:revision>
  <dcterms:created xsi:type="dcterms:W3CDTF">2021-08-30T15:24:00Z</dcterms:created>
  <dcterms:modified xsi:type="dcterms:W3CDTF">2021-08-31T15:22:00Z</dcterms:modified>
</cp:coreProperties>
</file>